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hd w:fill="ffffff" w:val="clear"/>
        <w:spacing w:before="280" w:line="360" w:lineRule="auto"/>
        <w:rPr>
          <w:color w:val="621b4b"/>
          <w:sz w:val="39"/>
          <w:szCs w:val="39"/>
        </w:rPr>
      </w:pPr>
      <w:bookmarkStart w:colFirst="0" w:colLast="0" w:name="_5pv985yxgxwd" w:id="0"/>
      <w:bookmarkEnd w:id="0"/>
      <w:r w:rsidDel="00000000" w:rsidR="00000000" w:rsidRPr="00000000">
        <w:rPr>
          <w:color w:val="621b4b"/>
          <w:sz w:val="39"/>
          <w:szCs w:val="39"/>
          <w:rtl w:val="0"/>
        </w:rPr>
        <w:t xml:space="preserve">Week 2</w:t>
      </w:r>
    </w:p>
    <w:p w:rsidR="00000000" w:rsidDel="00000000" w:rsidP="00000000" w:rsidRDefault="00000000" w:rsidRPr="00000000" w14:paraId="00000002">
      <w:pPr>
        <w:pStyle w:val="Heading4"/>
        <w:keepNext w:val="0"/>
        <w:keepLines w:val="0"/>
        <w:shd w:fill="ffffff" w:val="clear"/>
        <w:spacing w:after="100" w:before="100" w:line="360" w:lineRule="auto"/>
        <w:rPr>
          <w:color w:val="2d3b45"/>
          <w:sz w:val="27"/>
          <w:szCs w:val="27"/>
        </w:rPr>
      </w:pPr>
      <w:bookmarkStart w:colFirst="0" w:colLast="0" w:name="_6plrsps2w9l3" w:id="1"/>
      <w:bookmarkEnd w:id="1"/>
      <w:r w:rsidDel="00000000" w:rsidR="00000000" w:rsidRPr="00000000">
        <w:rPr>
          <w:color w:val="2d3b45"/>
          <w:sz w:val="27"/>
          <w:szCs w:val="27"/>
          <w:rtl w:val="0"/>
        </w:rPr>
        <w:t xml:space="preserve">Greetings class and welcome to Week 2!</w:t>
      </w:r>
    </w:p>
    <w:p w:rsidR="00000000" w:rsidDel="00000000" w:rsidP="00000000" w:rsidRDefault="00000000" w:rsidRPr="00000000" w14:paraId="00000003">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The Fourth Amendment and Search and Seizure</w:t>
      </w:r>
    </w:p>
    <w:p w:rsidR="00000000" w:rsidDel="00000000" w:rsidP="00000000" w:rsidRDefault="00000000" w:rsidRPr="00000000" w14:paraId="00000005">
      <w:pPr>
        <w:shd w:fill="ffffff" w:val="clear"/>
        <w:spacing w:after="180" w:before="180" w:lineRule="auto"/>
        <w:rPr>
          <w:color w:val="2d3b45"/>
          <w:sz w:val="24"/>
          <w:szCs w:val="24"/>
        </w:rPr>
      </w:pPr>
      <w:r w:rsidDel="00000000" w:rsidR="00000000" w:rsidRPr="00000000">
        <w:rPr>
          <w:color w:val="2d3b45"/>
          <w:sz w:val="24"/>
          <w:szCs w:val="24"/>
          <w:rtl w:val="0"/>
        </w:rPr>
        <w:t xml:space="preserve">This week, we take a look at corporate and individual liability for crimes and torts. Crimes and torts both involve wrongful conduct. Torts are wrongful conduct resulting in civil liability rather than criminal liability.  Crimes are considered to be offenses against the state.  In a criminal case, the state is represented by a prosecutor and the defendant faces sanctions including fines, loss of rights, and imprisonment. </w:t>
      </w:r>
    </w:p>
    <w:p w:rsidR="00000000" w:rsidDel="00000000" w:rsidP="00000000" w:rsidRDefault="00000000" w:rsidRPr="00000000" w14:paraId="00000006">
      <w:pPr>
        <w:shd w:fill="ffffff" w:val="clear"/>
        <w:spacing w:after="180" w:before="180" w:lineRule="auto"/>
        <w:rPr>
          <w:color w:val="2d3b45"/>
          <w:sz w:val="24"/>
          <w:szCs w:val="24"/>
        </w:rPr>
      </w:pPr>
      <w:r w:rsidDel="00000000" w:rsidR="00000000" w:rsidRPr="00000000">
        <w:rPr>
          <w:color w:val="2d3b45"/>
          <w:sz w:val="24"/>
          <w:szCs w:val="24"/>
          <w:rtl w:val="0"/>
        </w:rPr>
        <w:t xml:space="preserve">In a civil tort case, both sides are private parties and the sanctions against the losing party are limited to monetary damages or equitable remedies such as ordering a party to do something or to refrain from doing something. A corporation can be charged with a crime as can an individual acting in their corporate capacity.  In addition, individuals, corporations and other types of business entities can be held liable for torts including the torts of their employees and agents.    </w:t>
      </w:r>
    </w:p>
    <w:p w:rsidR="00000000" w:rsidDel="00000000" w:rsidP="00000000" w:rsidRDefault="00000000" w:rsidRPr="00000000" w14:paraId="00000007">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The Fourth Amendment</w:t>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One of this week’s discussions focuses on the protection against search and seizure provided to businesses by the Fourth Amendment.  Search and seizure is a very complicated area of the law so it is worth taking a closer look at it.  The Fourth Amendment prohibits the government from engaging in unreasonable searches and seizures. Most law related to search and seizure comes from court decisions.  The rules that have developed from hundreds of years of court cases are applied differently depending on the subject of the search and the circumstances surrounding the search.  For example, the rules are different depending on whether the subject of the search is a person, vehicle, container, house, computer, documents, etc.  I want to touch briefly on two areas:  First, let’s talk about what is protected by the Fourth Amendment and second, what happens when the Fourth Amendment is violated.</w:t>
      </w:r>
    </w:p>
    <w:p w:rsidR="00000000" w:rsidDel="00000000" w:rsidP="00000000" w:rsidRDefault="00000000" w:rsidRPr="00000000" w14:paraId="00000009">
      <w:pPr>
        <w:shd w:fill="ffffff" w:val="clear"/>
        <w:spacing w:after="180" w:before="180" w:lineRule="auto"/>
        <w:rPr>
          <w:color w:val="2d3b45"/>
          <w:sz w:val="24"/>
          <w:szCs w:val="24"/>
        </w:rPr>
      </w:pPr>
      <w:r w:rsidDel="00000000" w:rsidR="00000000" w:rsidRPr="00000000">
        <w:rPr>
          <w:color w:val="2d3b45"/>
          <w:sz w:val="24"/>
          <w:szCs w:val="24"/>
          <w:rtl w:val="0"/>
        </w:rPr>
        <w:t xml:space="preserve">The Fourth Amendment protects against unreasonable searches and seizures.  In determining what is “unreasonable”, the standard is whether the person or entity has a “reasonable expectation of privacy” in the area searched.  For example, if I left a bale of marijuana sitting in plain view in my front yard, the police could seize it and use it as evidence against me without a warrant because I do not have a reasonable expectation of privacy in items left in plain view in my front yard. Anyone driving or walking by would be able to see anything in my front yard. </w:t>
      </w:r>
    </w:p>
    <w:p w:rsidR="00000000" w:rsidDel="00000000" w:rsidP="00000000" w:rsidRDefault="00000000" w:rsidRPr="00000000" w14:paraId="0000000A">
      <w:pPr>
        <w:shd w:fill="ffffff" w:val="clear"/>
        <w:spacing w:after="180" w:before="180" w:lineRule="auto"/>
        <w:rPr>
          <w:color w:val="2d3b45"/>
          <w:sz w:val="24"/>
          <w:szCs w:val="24"/>
        </w:rPr>
      </w:pPr>
      <w:r w:rsidDel="00000000" w:rsidR="00000000" w:rsidRPr="00000000">
        <w:rPr>
          <w:color w:val="2d3b45"/>
          <w:sz w:val="24"/>
          <w:szCs w:val="24"/>
          <w:rtl w:val="0"/>
        </w:rPr>
        <w:t xml:space="preserve">On the other hand, if the bale of marijuana was inside my house, I would have a reasonable expectation of privacy and the police would generally need a search warrant to enter my house and seize the marijuana.  Our society has accepted that we have a high expectation of privacy inside our homes.  Vehicles fall somewhere in between.  The expectation of privacy inside a vehicle is lower than inside a home, but higher than outside in view of the public.</w:t>
      </w:r>
    </w:p>
    <w:p w:rsidR="00000000" w:rsidDel="00000000" w:rsidP="00000000" w:rsidRDefault="00000000" w:rsidRPr="00000000" w14:paraId="0000000B">
      <w:pPr>
        <w:shd w:fill="ffffff" w:val="clear"/>
        <w:spacing w:after="180" w:before="180" w:lineRule="auto"/>
        <w:rPr>
          <w:color w:val="2d3b45"/>
          <w:sz w:val="24"/>
          <w:szCs w:val="24"/>
        </w:rPr>
      </w:pPr>
      <w:r w:rsidDel="00000000" w:rsidR="00000000" w:rsidRPr="00000000">
        <w:rPr>
          <w:color w:val="2d3b45"/>
          <w:sz w:val="24"/>
          <w:szCs w:val="24"/>
          <w:rtl w:val="0"/>
        </w:rPr>
        <w:t xml:space="preserve">Even inside of a house, it can be tricky to determine who has a reasonable expectation of privacy.  This concept is called “standing.”  I have a reasonable expectation of privacy in my house therefore I have standing to contest a search of my house.  However, my next door neighbor probably does not have a reasonable expectation of privacy in </w:t>
      </w:r>
      <w:r w:rsidDel="00000000" w:rsidR="00000000" w:rsidRPr="00000000">
        <w:rPr>
          <w:i w:val="1"/>
          <w:color w:val="2d3b45"/>
          <w:sz w:val="24"/>
          <w:szCs w:val="24"/>
          <w:rtl w:val="0"/>
        </w:rPr>
        <w:t xml:space="preserve">my</w:t>
      </w:r>
      <w:r w:rsidDel="00000000" w:rsidR="00000000" w:rsidRPr="00000000">
        <w:rPr>
          <w:color w:val="2d3b45"/>
          <w:sz w:val="24"/>
          <w:szCs w:val="24"/>
          <w:rtl w:val="0"/>
        </w:rPr>
        <w:t xml:space="preserve"> house, so he would not have standing to contest a search of my house.  </w:t>
      </w:r>
    </w:p>
    <w:p w:rsidR="00000000" w:rsidDel="00000000" w:rsidP="00000000" w:rsidRDefault="00000000" w:rsidRPr="00000000" w14:paraId="0000000C">
      <w:pPr>
        <w:shd w:fill="ffffff" w:val="clear"/>
        <w:spacing w:after="180" w:before="180" w:lineRule="auto"/>
        <w:rPr>
          <w:color w:val="2d3b45"/>
          <w:sz w:val="24"/>
          <w:szCs w:val="24"/>
        </w:rPr>
      </w:pPr>
      <w:r w:rsidDel="00000000" w:rsidR="00000000" w:rsidRPr="00000000">
        <w:rPr>
          <w:color w:val="2d3b45"/>
          <w:sz w:val="24"/>
          <w:szCs w:val="24"/>
          <w:rtl w:val="0"/>
        </w:rPr>
        <w:t xml:space="preserve">For example, one of my clients was arrested along with a co-defendant at a house where the police executed a search warrant.  My client and the co-defendant were charged with money laundering and drug trafficking.  Throughout the house, the police found various pieces of evidence such as money counting machines, heat sealers, and notes concerning money amounts.  Inside a locked closet in the house, the police found $800,000 wrapped in heat shrink plastic and several drug ledgers (books detailing drug sales and money collected).  The codefendant lived at the house.  My client lived somewhere else, but had a key to the locked closet.  He did not have a key to the house.</w:t>
      </w:r>
    </w:p>
    <w:p w:rsidR="00000000" w:rsidDel="00000000" w:rsidP="00000000" w:rsidRDefault="00000000" w:rsidRPr="00000000" w14:paraId="0000000D">
      <w:pPr>
        <w:shd w:fill="ffffff" w:val="clear"/>
        <w:spacing w:after="180" w:before="180" w:lineRule="auto"/>
        <w:rPr>
          <w:color w:val="2d3b45"/>
          <w:sz w:val="24"/>
          <w:szCs w:val="24"/>
        </w:rPr>
      </w:pPr>
      <w:r w:rsidDel="00000000" w:rsidR="00000000" w:rsidRPr="00000000">
        <w:rPr>
          <w:color w:val="2d3b45"/>
          <w:sz w:val="24"/>
          <w:szCs w:val="24"/>
          <w:rtl w:val="0"/>
        </w:rPr>
        <w:t xml:space="preserve">I filed a motion asking the court to suppress (throw out) the evidence found in the house and closet on the grounds that the search warrant was insufficient.  The court held that the codefendant had a reasonable expectation of privacy in the house and the closet because he lived there.  Accordingly, he had standing and was allowed to contest the search and seizure of the evidence found in the house and in the closet.  However, the court held that my client could only contest the search and seizure of the evidence found in the locked closet.  My client did not have a reasonable expectation of privacy in the house itself because he did not live there and did not have a key to the house (in legal terms, my client lacked “standing”).</w:t>
      </w:r>
    </w:p>
    <w:p w:rsidR="00000000" w:rsidDel="00000000" w:rsidP="00000000" w:rsidRDefault="00000000" w:rsidRPr="00000000" w14:paraId="0000000E">
      <w:pPr>
        <w:shd w:fill="ffffff" w:val="clear"/>
        <w:spacing w:after="180" w:before="180" w:lineRule="auto"/>
        <w:rPr>
          <w:color w:val="2d3b45"/>
          <w:sz w:val="24"/>
          <w:szCs w:val="24"/>
        </w:rPr>
      </w:pPr>
      <w:r w:rsidDel="00000000" w:rsidR="00000000" w:rsidRPr="00000000">
        <w:rPr>
          <w:color w:val="2d3b45"/>
          <w:sz w:val="24"/>
          <w:szCs w:val="24"/>
          <w:rtl w:val="0"/>
        </w:rPr>
        <w:t xml:space="preserve">However, my client had a reasonable expectation of privacy in the contents of the locked closet because he had a key to the closet.  Therefore, he had standing as to the closet and was allowed to contest the search of the closet.  Because my client had a key to the closet, he could exclude other people from the closet and had a reasonable expectation of privacy to the contents of the closet, but since he did not have a key to the house, he did not have a reasonable expectation of privacy as to the rest of the house.</w:t>
      </w:r>
    </w:p>
    <w:p w:rsidR="00000000" w:rsidDel="00000000" w:rsidP="00000000" w:rsidRDefault="00000000" w:rsidRPr="00000000" w14:paraId="0000000F">
      <w:pPr>
        <w:shd w:fill="ffffff" w:val="clear"/>
        <w:spacing w:after="180" w:before="180" w:lineRule="auto"/>
        <w:rPr>
          <w:color w:val="2d3b45"/>
          <w:sz w:val="24"/>
          <w:szCs w:val="24"/>
        </w:rPr>
      </w:pPr>
      <w:r w:rsidDel="00000000" w:rsidR="00000000" w:rsidRPr="00000000">
        <w:rPr>
          <w:color w:val="2d3b45"/>
          <w:sz w:val="24"/>
          <w:szCs w:val="24"/>
          <w:rtl w:val="0"/>
        </w:rPr>
        <w:t xml:space="preserve">This video provides a nice explanation of the concept of reasonable expectation of privacy as it relates to Fourth Amendment search and seizure analysis:</w:t>
      </w:r>
    </w:p>
    <w:p w:rsidR="00000000" w:rsidDel="00000000" w:rsidP="00000000" w:rsidRDefault="00000000" w:rsidRPr="00000000" w14:paraId="00000010">
      <w:pPr>
        <w:shd w:fill="ffffff" w:val="clear"/>
        <w:spacing w:after="180" w:before="180" w:lineRule="auto"/>
        <w:rPr>
          <w:i w:val="1"/>
          <w:color w:val="1155cc"/>
          <w:sz w:val="24"/>
          <w:szCs w:val="24"/>
        </w:rPr>
      </w:pPr>
      <w:r w:rsidDel="00000000" w:rsidR="00000000" w:rsidRPr="00000000">
        <w:rPr>
          <w:color w:val="2d3b45"/>
          <w:sz w:val="24"/>
          <w:szCs w:val="24"/>
          <w:rtl w:val="0"/>
        </w:rPr>
        <w:t xml:space="preserve">Utah Law (2013, Jan 3).  </w:t>
      </w:r>
      <w:r w:rsidDel="00000000" w:rsidR="00000000" w:rsidRPr="00000000">
        <w:fldChar w:fldCharType="begin"/>
        <w:instrText xml:space="preserve"> HYPERLINK "https://www.youtube.com/watch?v=GCL6rSnuWC8%20%C2%A0" </w:instrText>
        <w:fldChar w:fldCharType="separate"/>
      </w:r>
      <w:r w:rsidDel="00000000" w:rsidR="00000000" w:rsidRPr="00000000">
        <w:rPr>
          <w:i w:val="1"/>
          <w:color w:val="1155cc"/>
          <w:sz w:val="24"/>
          <w:szCs w:val="24"/>
          <w:rtl w:val="0"/>
        </w:rPr>
        <w:t xml:space="preserve">Reasonable expectation of privacy</w:t>
      </w:r>
    </w:p>
    <w:p w:rsidR="00000000" w:rsidDel="00000000" w:rsidP="00000000" w:rsidRDefault="00000000" w:rsidRPr="00000000" w14:paraId="00000011">
      <w:pPr>
        <w:shd w:fill="ffffff" w:val="clear"/>
        <w:spacing w:after="160" w:before="160" w:lineRule="auto"/>
        <w:ind w:left="-20" w:right="-20" w:firstLine="0"/>
        <w:rPr>
          <w:i w:val="1"/>
          <w:color w:val="1155cc"/>
          <w:sz w:val="24"/>
          <w:szCs w:val="24"/>
        </w:rPr>
      </w:pPr>
      <w:r w:rsidDel="00000000" w:rsidR="00000000" w:rsidRPr="00000000">
        <w:rPr>
          <w:i w:val="1"/>
          <w:color w:val="1155cc"/>
          <w:sz w:val="24"/>
          <w:szCs w:val="24"/>
          <w:rtl w:val="0"/>
        </w:rPr>
        <w:t xml:space="preserve"> (Links to an external site.)</w:t>
      </w:r>
    </w:p>
    <w:p w:rsidR="00000000" w:rsidDel="00000000" w:rsidP="00000000" w:rsidRDefault="00000000" w:rsidRPr="00000000" w14:paraId="00000012">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[Video file].  Retrieved from https://www.youtube.com/watch?v=GCL6rSnuWC8  </w:t>
      </w:r>
    </w:p>
    <w:p w:rsidR="00000000" w:rsidDel="00000000" w:rsidP="00000000" w:rsidRDefault="00000000" w:rsidRPr="00000000" w14:paraId="0000001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The Exclusionary Rule</w:t>
      </w:r>
    </w:p>
    <w:p w:rsidR="00000000" w:rsidDel="00000000" w:rsidP="00000000" w:rsidRDefault="00000000" w:rsidRPr="00000000" w14:paraId="00000014">
      <w:pPr>
        <w:shd w:fill="ffffff" w:val="clear"/>
        <w:spacing w:after="180" w:before="180" w:lineRule="auto"/>
        <w:rPr>
          <w:color w:val="2d3b45"/>
          <w:sz w:val="24"/>
          <w:szCs w:val="24"/>
        </w:rPr>
      </w:pPr>
      <w:r w:rsidDel="00000000" w:rsidR="00000000" w:rsidRPr="00000000">
        <w:rPr>
          <w:color w:val="2d3b45"/>
          <w:sz w:val="24"/>
          <w:szCs w:val="24"/>
          <w:rtl w:val="0"/>
        </w:rPr>
        <w:t xml:space="preserve">Now that we have learned a little about what the Fourth Amendment protects, let’s see what happens if the Fourth Amendment is violated.  I mentioned before that I moved to “suppress” the evidence against my client.  To suppress the evidence means that it could not be used against him at trial. This is also called the “exclusionary rule” as articulated by the Supreme Court in </w:t>
      </w:r>
      <w:r w:rsidDel="00000000" w:rsidR="00000000" w:rsidRPr="00000000">
        <w:rPr>
          <w:i w:val="1"/>
          <w:color w:val="2d3b45"/>
          <w:sz w:val="24"/>
          <w:szCs w:val="24"/>
          <w:rtl w:val="0"/>
        </w:rPr>
        <w:t xml:space="preserve">Weeks vs. United States</w:t>
      </w:r>
      <w:r w:rsidDel="00000000" w:rsidR="00000000" w:rsidRPr="00000000">
        <w:rPr>
          <w:color w:val="2d3b45"/>
          <w:sz w:val="24"/>
          <w:szCs w:val="24"/>
          <w:rtl w:val="0"/>
        </w:rPr>
        <w:t xml:space="preserve"> 232 U.S. 383 (1914) and </w:t>
      </w:r>
      <w:r w:rsidDel="00000000" w:rsidR="00000000" w:rsidRPr="00000000">
        <w:rPr>
          <w:i w:val="1"/>
          <w:color w:val="2d3b45"/>
          <w:sz w:val="24"/>
          <w:szCs w:val="24"/>
          <w:rtl w:val="0"/>
        </w:rPr>
        <w:t xml:space="preserve">Mapp vs. Ohio</w:t>
      </w:r>
      <w:r w:rsidDel="00000000" w:rsidR="00000000" w:rsidRPr="00000000">
        <w:rPr>
          <w:color w:val="2d3b45"/>
          <w:sz w:val="24"/>
          <w:szCs w:val="24"/>
          <w:rtl w:val="0"/>
        </w:rPr>
        <w:t xml:space="preserve">, 367 U.S. 643 (1961). Suppression is the mechanism for enforcing the rights guaranteed by the Fourth Amendment.  If a law enforcement officer engages in an illegal search in violation of the Fourth Amendment, he does not get charged with a crime.  Instead, the evidence seized during the illegal search is suppressed and cannot be used against the defendant.  Suppressing the evidence is how the courts enforce the Fourth Amendment.</w:t>
      </w:r>
    </w:p>
    <w:p w:rsidR="00000000" w:rsidDel="00000000" w:rsidP="00000000" w:rsidRDefault="00000000" w:rsidRPr="00000000" w14:paraId="00000015">
      <w:pPr>
        <w:shd w:fill="ffffff" w:val="clear"/>
        <w:spacing w:after="180" w:before="180" w:lineRule="auto"/>
        <w:rPr>
          <w:color w:val="2d3b45"/>
          <w:sz w:val="24"/>
          <w:szCs w:val="24"/>
        </w:rPr>
      </w:pPr>
      <w:r w:rsidDel="00000000" w:rsidR="00000000" w:rsidRPr="00000000">
        <w:rPr>
          <w:color w:val="2d3b45"/>
          <w:sz w:val="24"/>
          <w:szCs w:val="24"/>
          <w:rtl w:val="0"/>
        </w:rPr>
        <w:t xml:space="preserve">For example, I represented a defendant in a case in which the police executed a search warrant at my client’s house and found a lot of methamphetamine and several firearms.  Unfortunately for the police, a federal judge suppressed the evidence because the affidavit in support of the search warrant was insufficient to establish probably cause for the search. </w:t>
      </w:r>
    </w:p>
    <w:p w:rsidR="00000000" w:rsidDel="00000000" w:rsidP="00000000" w:rsidRDefault="00000000" w:rsidRPr="00000000" w14:paraId="00000016">
      <w:pPr>
        <w:shd w:fill="ffffff" w:val="clear"/>
        <w:spacing w:after="180" w:before="180" w:lineRule="auto"/>
        <w:rPr>
          <w:color w:val="2d3b45"/>
          <w:sz w:val="24"/>
          <w:szCs w:val="24"/>
        </w:rPr>
      </w:pPr>
      <w:r w:rsidDel="00000000" w:rsidR="00000000" w:rsidRPr="00000000">
        <w:rPr>
          <w:color w:val="2d3b45"/>
          <w:sz w:val="24"/>
          <w:szCs w:val="24"/>
          <w:rtl w:val="0"/>
        </w:rPr>
        <w:t xml:space="preserve">Generally, in order to conduct a search, the police need a search warrant signed by a judge.  However, a judge cannot just issue a search warrant for little or no reason.  The search warrant must be supported by "probable cause" which means sufficient evidence that a reasonable person would believe that there may be some evidence of criminal conduct to be found at a particular place.  This evidence necessary to find probable cause is usually provided to the judge by a police officer in the form of an affidavit (a written statement by the police officer under oath).  Even if the search warrant is signed by the judge, it may be insufficient if the police officer's affidavit was not sufficient to provide probable cause. </w:t>
      </w:r>
    </w:p>
    <w:p w:rsidR="00000000" w:rsidDel="00000000" w:rsidP="00000000" w:rsidRDefault="00000000" w:rsidRPr="00000000" w14:paraId="00000017">
      <w:pPr>
        <w:shd w:fill="ffffff" w:val="clear"/>
        <w:spacing w:after="180" w:before="180" w:lineRule="auto"/>
        <w:rPr>
          <w:color w:val="2d3b45"/>
          <w:sz w:val="24"/>
          <w:szCs w:val="24"/>
        </w:rPr>
      </w:pPr>
      <w:r w:rsidDel="00000000" w:rsidR="00000000" w:rsidRPr="00000000">
        <w:rPr>
          <w:rtl w:val="0"/>
        </w:rPr>
      </w:r>
    </w:p>
    <w:p w:rsidR="00000000" w:rsidDel="00000000" w:rsidP="00000000" w:rsidRDefault="00000000" w:rsidRPr="00000000" w14:paraId="00000018">
      <w:pPr>
        <w:shd w:fill="ffffff" w:val="clear"/>
        <w:spacing w:after="180" w:before="180" w:lineRule="auto"/>
        <w:rPr>
          <w:color w:val="2d3b45"/>
          <w:sz w:val="24"/>
          <w:szCs w:val="24"/>
        </w:rPr>
      </w:pPr>
      <w:r w:rsidDel="00000000" w:rsidR="00000000" w:rsidRPr="00000000">
        <w:rPr>
          <w:color w:val="2d3b45"/>
          <w:sz w:val="24"/>
          <w:szCs w:val="24"/>
          <w:rtl w:val="0"/>
        </w:rPr>
        <w:t xml:space="preserve">In this case, there was insufficient information in the affidavit to provide probable cause because all the affidavit said was that the confidential informant told police that he purchased drugs from that address.  There was no further information to corroborate the confidential informant's information.  For example, if the police officer had observed what appeared to be drug transactions occurring at the location, or if the confidential informant had provided reliable information in the past, or if some other person said that they too had bought drugs at that location, then there would have been enough information to provide probable cause and the warrant would have been upheld.</w:t>
      </w:r>
    </w:p>
    <w:p w:rsidR="00000000" w:rsidDel="00000000" w:rsidP="00000000" w:rsidRDefault="00000000" w:rsidRPr="00000000" w14:paraId="00000019">
      <w:pPr>
        <w:shd w:fill="ffffff" w:val="clear"/>
        <w:spacing w:after="180" w:before="180" w:lineRule="auto"/>
        <w:rPr>
          <w:color w:val="2d3b45"/>
          <w:sz w:val="24"/>
          <w:szCs w:val="24"/>
        </w:rPr>
      </w:pPr>
      <w:r w:rsidDel="00000000" w:rsidR="00000000" w:rsidRPr="00000000">
        <w:rPr>
          <w:rtl w:val="0"/>
        </w:rPr>
      </w:r>
    </w:p>
    <w:p w:rsidR="00000000" w:rsidDel="00000000" w:rsidP="00000000" w:rsidRDefault="00000000" w:rsidRPr="00000000" w14:paraId="0000001A">
      <w:pPr>
        <w:shd w:fill="ffffff" w:val="clear"/>
        <w:spacing w:after="180" w:before="180" w:lineRule="auto"/>
        <w:rPr>
          <w:color w:val="2d3b45"/>
          <w:sz w:val="24"/>
          <w:szCs w:val="24"/>
        </w:rPr>
      </w:pPr>
      <w:r w:rsidDel="00000000" w:rsidR="00000000" w:rsidRPr="00000000">
        <w:rPr>
          <w:color w:val="2d3b45"/>
          <w:sz w:val="24"/>
          <w:szCs w:val="24"/>
          <w:rtl w:val="0"/>
        </w:rPr>
        <w:t xml:space="preserve">The natural reaction is "another guilty criminal goes free".  However, the judge had a duty to follow the law and grant the motion to suppress the evidence.  By suppressing the evidence, he was enforcing the rights guaranteed by the Fourth Amendment and protecting the rights of all citizens against unreasonable searches by the government (such as police officers).  In this case, the search was unreasonable because all the police had to go on was the word of one person.  Imagine if the police could come into your house or place of business without your permission and search it based entirely on the fact that one person told them that you were doing something illegal.  Police officers, judges, and lawyers all have difficult jobs and sometimes have to make hard choices.  Here, the unfortunate side effect is that a guilty criminal goes free. </w:t>
      </w:r>
    </w:p>
    <w:p w:rsidR="00000000" w:rsidDel="00000000" w:rsidP="00000000" w:rsidRDefault="00000000" w:rsidRPr="00000000" w14:paraId="0000001B">
      <w:pPr>
        <w:shd w:fill="ffffff" w:val="clear"/>
        <w:spacing w:after="180" w:before="180" w:lineRule="auto"/>
        <w:rPr>
          <w:color w:val="2d3b45"/>
          <w:sz w:val="24"/>
          <w:szCs w:val="24"/>
        </w:rPr>
      </w:pPr>
      <w:r w:rsidDel="00000000" w:rsidR="00000000" w:rsidRPr="00000000">
        <w:rPr>
          <w:color w:val="2d3b45"/>
          <w:sz w:val="24"/>
          <w:szCs w:val="24"/>
          <w:rtl w:val="0"/>
        </w:rPr>
        <w:t xml:space="preserve">For more information on probable cause and the exclusionary rule, see this video:</w:t>
      </w:r>
    </w:p>
    <w:p w:rsidR="00000000" w:rsidDel="00000000" w:rsidP="00000000" w:rsidRDefault="00000000" w:rsidRPr="00000000" w14:paraId="0000001C">
      <w:pPr>
        <w:shd w:fill="ffffff" w:val="clear"/>
        <w:spacing w:after="180" w:before="180" w:lineRule="auto"/>
        <w:rPr>
          <w:i w:val="1"/>
          <w:color w:val="1155cc"/>
          <w:sz w:val="24"/>
          <w:szCs w:val="24"/>
        </w:rPr>
      </w:pPr>
      <w:r w:rsidDel="00000000" w:rsidR="00000000" w:rsidRPr="00000000">
        <w:rPr>
          <w:color w:val="2d3b45"/>
          <w:sz w:val="24"/>
          <w:szCs w:val="24"/>
          <w:rtl w:val="0"/>
        </w:rPr>
        <w:t xml:space="preserve">CrashCourse (2015, Aug 15).  </w:t>
      </w:r>
      <w:r w:rsidDel="00000000" w:rsidR="00000000" w:rsidRPr="00000000">
        <w:fldChar w:fldCharType="begin"/>
        <w:instrText xml:space="preserve"> HYPERLINK "https://www.youtube.com/watch?v=_4O1OlGyTuU" </w:instrText>
        <w:fldChar w:fldCharType="separate"/>
      </w:r>
      <w:r w:rsidDel="00000000" w:rsidR="00000000" w:rsidRPr="00000000">
        <w:rPr>
          <w:i w:val="1"/>
          <w:color w:val="1155cc"/>
          <w:sz w:val="24"/>
          <w:szCs w:val="24"/>
          <w:rtl w:val="0"/>
        </w:rPr>
        <w:t xml:space="preserve">Search and seizure:  Crash course government and politics #27</w:t>
      </w:r>
    </w:p>
    <w:p w:rsidR="00000000" w:rsidDel="00000000" w:rsidP="00000000" w:rsidRDefault="00000000" w:rsidRPr="00000000" w14:paraId="0000001D">
      <w:pPr>
        <w:shd w:fill="ffffff" w:val="clear"/>
        <w:spacing w:after="160" w:before="160" w:lineRule="auto"/>
        <w:ind w:left="-20" w:right="-20" w:firstLine="0"/>
        <w:rPr>
          <w:i w:val="1"/>
          <w:color w:val="1155cc"/>
          <w:sz w:val="24"/>
          <w:szCs w:val="24"/>
        </w:rPr>
      </w:pPr>
      <w:r w:rsidDel="00000000" w:rsidR="00000000" w:rsidRPr="00000000">
        <w:rPr>
          <w:i w:val="1"/>
          <w:color w:val="1155cc"/>
          <w:sz w:val="24"/>
          <w:szCs w:val="24"/>
          <w:rtl w:val="0"/>
        </w:rPr>
        <w:t xml:space="preserve"> (Links to an external site.)</w:t>
      </w:r>
    </w:p>
    <w:p w:rsidR="00000000" w:rsidDel="00000000" w:rsidP="00000000" w:rsidRDefault="00000000" w:rsidRPr="00000000" w14:paraId="0000001E">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[Video file].  Retrieved from https://www.youtube.com/watch?v=4O1OIGyTuU</w:t>
      </w:r>
    </w:p>
    <w:p w:rsidR="00000000" w:rsidDel="00000000" w:rsidP="00000000" w:rsidRDefault="00000000" w:rsidRPr="00000000" w14:paraId="0000001F">
      <w:pPr>
        <w:shd w:fill="ffffff" w:val="clear"/>
        <w:spacing w:after="160" w:before="160" w:lineRule="auto"/>
        <w:ind w:left="-20" w:right="-20" w:firstLine="0"/>
        <w:rPr>
          <w:color w:val="1155cc"/>
          <w:sz w:val="24"/>
          <w:szCs w:val="24"/>
        </w:rPr>
      </w:pPr>
      <w:r w:rsidDel="00000000" w:rsidR="00000000" w:rsidRPr="00000000">
        <w:fldChar w:fldCharType="begin"/>
        <w:instrText xml:space="preserve"> HYPERLINK "https://www.youtube.com/watch?v=_4O1OlGyTuU" </w:instrText>
        <w:fldChar w:fldCharType="separate"/>
      </w:r>
      <w:r w:rsidDel="00000000" w:rsidR="00000000" w:rsidRPr="00000000">
        <w:rPr>
          <w:color w:val="1155cc"/>
          <w:sz w:val="24"/>
          <w:szCs w:val="24"/>
          <w:rtl w:val="0"/>
        </w:rPr>
        <w:t xml:space="preserve"> (Links to an external site.)</w:t>
      </w:r>
    </w:p>
    <w:p w:rsidR="00000000" w:rsidDel="00000000" w:rsidP="00000000" w:rsidRDefault="00000000" w:rsidRPr="00000000" w14:paraId="00000020">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We have learned a little more about what is protected by the Fourth Amendment and what happens when the Fourth Amendment is violated.  The Fourth Amendment protects people against unreasonable searches and seizures.  It protects guilty criminals just as much as it protects innocent people.  Even if law enforcement officers find evidence of criminal activity, the courts will suppress evidence seized in violation of the Fourth Amendment. </w:t>
      </w:r>
    </w:p>
    <w:p w:rsidR="00000000" w:rsidDel="00000000" w:rsidP="00000000" w:rsidRDefault="00000000" w:rsidRPr="00000000" w14:paraId="00000021">
      <w:pPr>
        <w:shd w:fill="ffffff" w:val="clear"/>
        <w:spacing w:after="180" w:before="180" w:lineRule="auto"/>
        <w:rPr>
          <w:color w:val="2d3b45"/>
          <w:sz w:val="24"/>
          <w:szCs w:val="24"/>
        </w:rPr>
      </w:pPr>
      <w:r w:rsidDel="00000000" w:rsidR="00000000" w:rsidRPr="00000000">
        <w:rPr>
          <w:color w:val="2d3b45"/>
          <w:sz w:val="24"/>
          <w:szCs w:val="24"/>
          <w:rtl w:val="0"/>
        </w:rPr>
        <w:t xml:space="preserve">There is a lot more to learn about corporate and individual liability for crimes and torts so be sure to read the chapters and other materials assigned for this week. </w:t>
      </w:r>
    </w:p>
    <w:p w:rsidR="00000000" w:rsidDel="00000000" w:rsidP="00000000" w:rsidRDefault="00000000" w:rsidRPr="00000000" w14:paraId="00000022">
      <w:pPr>
        <w:shd w:fill="ffffff" w:val="clear"/>
        <w:spacing w:after="180" w:before="180" w:lineRule="auto"/>
        <w:rPr>
          <w:color w:val="2d3b45"/>
          <w:sz w:val="24"/>
          <w:szCs w:val="24"/>
        </w:rPr>
      </w:pPr>
      <w:r w:rsidDel="00000000" w:rsidR="00000000" w:rsidRPr="00000000">
        <w:rPr>
          <w:color w:val="2d3b45"/>
          <w:sz w:val="24"/>
          <w:szCs w:val="24"/>
          <w:rtl w:val="0"/>
        </w:rPr>
        <w:t xml:space="preserve">Resources:</w:t>
      </w:r>
    </w:p>
    <w:p w:rsidR="00000000" w:rsidDel="00000000" w:rsidP="00000000" w:rsidRDefault="00000000" w:rsidRPr="00000000" w14:paraId="00000023">
      <w:pPr>
        <w:shd w:fill="ffffff" w:val="clear"/>
        <w:spacing w:after="180" w:before="180" w:lineRule="auto"/>
        <w:rPr>
          <w:i w:val="1"/>
          <w:color w:val="1155cc"/>
          <w:sz w:val="24"/>
          <w:szCs w:val="24"/>
        </w:rPr>
      </w:pPr>
      <w:r w:rsidDel="00000000" w:rsidR="00000000" w:rsidRPr="00000000">
        <w:rPr>
          <w:color w:val="2d3b45"/>
          <w:sz w:val="24"/>
          <w:szCs w:val="24"/>
          <w:rtl w:val="0"/>
        </w:rPr>
        <w:t xml:space="preserve">CrashCourse (2015, Aug 15).  </w:t>
      </w:r>
      <w:r w:rsidDel="00000000" w:rsidR="00000000" w:rsidRPr="00000000">
        <w:fldChar w:fldCharType="begin"/>
        <w:instrText xml:space="preserve"> HYPERLINK "https://www.youtube.com/watch?v=_4O1OlGyTuU" </w:instrText>
        <w:fldChar w:fldCharType="separate"/>
      </w:r>
      <w:r w:rsidDel="00000000" w:rsidR="00000000" w:rsidRPr="00000000">
        <w:rPr>
          <w:i w:val="1"/>
          <w:color w:val="1155cc"/>
          <w:sz w:val="24"/>
          <w:szCs w:val="24"/>
          <w:rtl w:val="0"/>
        </w:rPr>
        <w:t xml:space="preserve">Search and seizure:  Crash course government and politics #27</w:t>
      </w:r>
    </w:p>
    <w:p w:rsidR="00000000" w:rsidDel="00000000" w:rsidP="00000000" w:rsidRDefault="00000000" w:rsidRPr="00000000" w14:paraId="00000024">
      <w:pPr>
        <w:shd w:fill="ffffff" w:val="clear"/>
        <w:spacing w:after="160" w:before="160" w:lineRule="auto"/>
        <w:ind w:left="-20" w:right="-20" w:firstLine="0"/>
        <w:rPr>
          <w:i w:val="1"/>
          <w:color w:val="1155cc"/>
          <w:sz w:val="24"/>
          <w:szCs w:val="24"/>
        </w:rPr>
      </w:pPr>
      <w:r w:rsidDel="00000000" w:rsidR="00000000" w:rsidRPr="00000000">
        <w:rPr>
          <w:i w:val="1"/>
          <w:color w:val="1155cc"/>
          <w:sz w:val="24"/>
          <w:szCs w:val="24"/>
          <w:rtl w:val="0"/>
        </w:rPr>
        <w:t xml:space="preserve"> (Links to an external site.)</w:t>
      </w:r>
    </w:p>
    <w:p w:rsidR="00000000" w:rsidDel="00000000" w:rsidP="00000000" w:rsidRDefault="00000000" w:rsidRPr="00000000" w14:paraId="00000025">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[Video file].  Retrieved from https://www.youtube.com/watch?v=_4O1OlGyTuU</w:t>
      </w:r>
    </w:p>
    <w:p w:rsidR="00000000" w:rsidDel="00000000" w:rsidP="00000000" w:rsidRDefault="00000000" w:rsidRPr="00000000" w14:paraId="00000026">
      <w:pPr>
        <w:shd w:fill="ffffff" w:val="clear"/>
        <w:spacing w:after="180" w:before="180" w:lineRule="auto"/>
        <w:rPr>
          <w:i w:val="1"/>
          <w:color w:val="1155cc"/>
          <w:sz w:val="24"/>
          <w:szCs w:val="24"/>
        </w:rPr>
      </w:pPr>
      <w:r w:rsidDel="00000000" w:rsidR="00000000" w:rsidRPr="00000000">
        <w:rPr>
          <w:color w:val="2d3b45"/>
          <w:sz w:val="24"/>
          <w:szCs w:val="24"/>
          <w:rtl w:val="0"/>
        </w:rPr>
        <w:t xml:space="preserve">Utah Law (2013, Jan 3).  </w:t>
      </w:r>
      <w:r w:rsidDel="00000000" w:rsidR="00000000" w:rsidRPr="00000000">
        <w:fldChar w:fldCharType="begin"/>
        <w:instrText xml:space="preserve"> HYPERLINK "https://www.youtube.com/watch?v=GCL6rSnuWC8" </w:instrText>
        <w:fldChar w:fldCharType="separate"/>
      </w:r>
      <w:r w:rsidDel="00000000" w:rsidR="00000000" w:rsidRPr="00000000">
        <w:rPr>
          <w:i w:val="1"/>
          <w:color w:val="1155cc"/>
          <w:sz w:val="24"/>
          <w:szCs w:val="24"/>
          <w:rtl w:val="0"/>
        </w:rPr>
        <w:t xml:space="preserve">Reasonable expectation of privacy</w:t>
      </w:r>
    </w:p>
    <w:p w:rsidR="00000000" w:rsidDel="00000000" w:rsidP="00000000" w:rsidRDefault="00000000" w:rsidRPr="00000000" w14:paraId="00000027">
      <w:pPr>
        <w:shd w:fill="ffffff" w:val="clear"/>
        <w:spacing w:after="160" w:before="160" w:lineRule="auto"/>
        <w:ind w:left="-20" w:right="-20" w:firstLine="0"/>
        <w:rPr>
          <w:i w:val="1"/>
          <w:color w:val="1155cc"/>
          <w:sz w:val="24"/>
          <w:szCs w:val="24"/>
        </w:rPr>
      </w:pPr>
      <w:r w:rsidDel="00000000" w:rsidR="00000000" w:rsidRPr="00000000">
        <w:rPr>
          <w:i w:val="1"/>
          <w:color w:val="1155cc"/>
          <w:sz w:val="24"/>
          <w:szCs w:val="24"/>
          <w:rtl w:val="0"/>
        </w:rPr>
        <w:t xml:space="preserve"> (Links to an external site.)</w:t>
      </w:r>
    </w:p>
    <w:p w:rsidR="00000000" w:rsidDel="00000000" w:rsidP="00000000" w:rsidRDefault="00000000" w:rsidRPr="00000000" w14:paraId="00000028">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[Video file].  Retrieved from https://www.youtube.com/watch?v=GCL6rSnuWC8 </w:t>
      </w:r>
    </w:p>
    <w:p w:rsidR="00000000" w:rsidDel="00000000" w:rsidP="00000000" w:rsidRDefault="00000000" w:rsidRPr="00000000" w14:paraId="00000029">
      <w:pPr>
        <w:shd w:fill="ffffff" w:val="clear"/>
        <w:spacing w:after="180" w:before="180" w:lineRule="auto"/>
        <w:rPr>
          <w:color w:val="2d3b45"/>
          <w:sz w:val="24"/>
          <w:szCs w:val="24"/>
        </w:rPr>
      </w:pPr>
      <w:r w:rsidDel="00000000" w:rsidR="00000000" w:rsidRPr="00000000">
        <w:rPr>
          <w:i w:val="1"/>
          <w:color w:val="2d3b45"/>
          <w:sz w:val="24"/>
          <w:szCs w:val="24"/>
          <w:rtl w:val="0"/>
        </w:rPr>
        <w:t xml:space="preserve">Mapp vs. Ohio</w:t>
      </w:r>
      <w:r w:rsidDel="00000000" w:rsidR="00000000" w:rsidRPr="00000000">
        <w:rPr>
          <w:color w:val="2d3b45"/>
          <w:sz w:val="24"/>
          <w:szCs w:val="24"/>
          <w:rtl w:val="0"/>
        </w:rPr>
        <w:t xml:space="preserve">, 367 U.S. 643 (1961).</w:t>
      </w:r>
    </w:p>
    <w:p w:rsidR="00000000" w:rsidDel="00000000" w:rsidP="00000000" w:rsidRDefault="00000000" w:rsidRPr="00000000" w14:paraId="0000002A">
      <w:pPr>
        <w:shd w:fill="ffffff" w:val="clear"/>
        <w:spacing w:after="180" w:before="180" w:lineRule="auto"/>
        <w:rPr>
          <w:color w:val="2d3b45"/>
          <w:sz w:val="24"/>
          <w:szCs w:val="24"/>
        </w:rPr>
      </w:pPr>
      <w:r w:rsidDel="00000000" w:rsidR="00000000" w:rsidRPr="00000000">
        <w:rPr>
          <w:i w:val="1"/>
          <w:color w:val="2d3b45"/>
          <w:sz w:val="24"/>
          <w:szCs w:val="24"/>
          <w:rtl w:val="0"/>
        </w:rPr>
        <w:t xml:space="preserve">Weeks vs. United States</w:t>
      </w:r>
      <w:r w:rsidDel="00000000" w:rsidR="00000000" w:rsidRPr="00000000">
        <w:rPr>
          <w:color w:val="2d3b45"/>
          <w:sz w:val="24"/>
          <w:szCs w:val="24"/>
          <w:rtl w:val="0"/>
        </w:rPr>
        <w:t xml:space="preserve"> 232 U.S. 383 (1914)</w:t>
      </w:r>
    </w:p>
    <w:p w:rsidR="00000000" w:rsidDel="00000000" w:rsidP="00000000" w:rsidRDefault="00000000" w:rsidRPr="00000000" w14:paraId="0000002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